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FFCC"/>
  <w:body>
    <w:p w:rsidR="008301AB" w:rsidRDefault="003A234E" w:rsidP="008301AB">
      <w:pPr>
        <w:spacing w:before="100" w:beforeAutospacing="1" w:after="100" w:afterAutospacing="1"/>
        <w:jc w:val="center"/>
        <w:outlineLvl w:val="1"/>
        <w:rPr>
          <w:rFonts w:ascii="Times" w:eastAsia="Times New Roman" w:hAnsi="Times"/>
          <w:b/>
          <w:bCs/>
          <w:color w:val="365F91" w:themeColor="accent1" w:themeShade="BF"/>
          <w:sz w:val="36"/>
          <w:szCs w:val="36"/>
        </w:rPr>
      </w:pPr>
      <w:r w:rsidRPr="008301AB">
        <w:rPr>
          <w:rFonts w:ascii="Times" w:eastAsia="Times New Roman" w:hAnsi="Times"/>
          <w:b/>
          <w:bCs/>
          <w:color w:val="365F91" w:themeColor="accent1" w:themeShade="BF"/>
          <w:sz w:val="36"/>
          <w:szCs w:val="36"/>
        </w:rPr>
        <w:t>Atelier de l'anthropocène</w:t>
      </w:r>
    </w:p>
    <w:p w:rsidR="008E000A" w:rsidRPr="008301AB" w:rsidRDefault="008E000A" w:rsidP="008301AB">
      <w:pPr>
        <w:jc w:val="center"/>
        <w:outlineLvl w:val="1"/>
        <w:rPr>
          <w:rFonts w:ascii="Times" w:eastAsia="Times New Roman" w:hAnsi="Times"/>
          <w:b/>
          <w:bCs/>
          <w:color w:val="365F91" w:themeColor="accent1" w:themeShade="BF"/>
          <w:sz w:val="36"/>
          <w:szCs w:val="36"/>
        </w:rPr>
      </w:pPr>
      <w:proofErr w:type="gramStart"/>
      <w:r w:rsidRPr="008301AB">
        <w:rPr>
          <w:b/>
          <w:iCs/>
        </w:rPr>
        <w:t>1er</w:t>
      </w:r>
      <w:proofErr w:type="gramEnd"/>
      <w:r w:rsidRPr="008301AB">
        <w:rPr>
          <w:b/>
          <w:iCs/>
        </w:rPr>
        <w:t>, 3e et 5e jeudis du mois</w:t>
      </w:r>
      <w:r w:rsidRPr="008301AB">
        <w:rPr>
          <w:b/>
        </w:rPr>
        <w:t xml:space="preserve"> </w:t>
      </w:r>
      <w:r w:rsidRPr="008301AB">
        <w:rPr>
          <w:b/>
          <w:iCs/>
        </w:rPr>
        <w:t>de 11 h à 13 h</w:t>
      </w:r>
      <w:r w:rsidR="008301AB">
        <w:rPr>
          <w:b/>
          <w:iCs/>
        </w:rPr>
        <w:t xml:space="preserve"> 00.</w:t>
      </w:r>
    </w:p>
    <w:p w:rsidR="008E000A" w:rsidRPr="008301AB" w:rsidRDefault="008E000A" w:rsidP="008301AB">
      <w:pPr>
        <w:jc w:val="center"/>
        <w:rPr>
          <w:iCs/>
        </w:rPr>
      </w:pPr>
      <w:r w:rsidRPr="008301AB">
        <w:rPr>
          <w:iCs/>
        </w:rPr>
        <w:t>(16 octobre 2014 - 29 janvier 2015)</w:t>
      </w:r>
    </w:p>
    <w:p w:rsidR="008301AB" w:rsidRDefault="008301AB" w:rsidP="008E000A">
      <w:pPr>
        <w:pStyle w:val="Sous-titre"/>
        <w:jc w:val="center"/>
        <w:rPr>
          <w:rFonts w:ascii="Times New Roman" w:hAnsi="Times New Roman"/>
          <w:i w:val="0"/>
          <w:color w:val="365F91" w:themeColor="accent1" w:themeShade="BF"/>
          <w:sz w:val="32"/>
          <w:szCs w:val="32"/>
        </w:rPr>
      </w:pPr>
    </w:p>
    <w:p w:rsidR="008E000A" w:rsidRPr="008301AB" w:rsidRDefault="008301AB" w:rsidP="008E000A">
      <w:pPr>
        <w:pStyle w:val="Sous-titre"/>
        <w:jc w:val="center"/>
        <w:rPr>
          <w:rFonts w:ascii="Times New Roman" w:hAnsi="Times New Roman"/>
          <w:i w:val="0"/>
          <w:color w:val="365F91" w:themeColor="accent1" w:themeShade="BF"/>
          <w:sz w:val="32"/>
          <w:szCs w:val="32"/>
        </w:rPr>
      </w:pPr>
      <w:r>
        <w:rPr>
          <w:rFonts w:ascii="Times New Roman" w:hAnsi="Times New Roman"/>
          <w:i w:val="0"/>
          <w:color w:val="365F91" w:themeColor="accent1" w:themeShade="BF"/>
          <w:sz w:val="32"/>
          <w:szCs w:val="32"/>
        </w:rPr>
        <w:t>Sé</w:t>
      </w:r>
      <w:r w:rsidR="003A234E" w:rsidRPr="008301AB">
        <w:rPr>
          <w:rFonts w:ascii="Times New Roman" w:hAnsi="Times New Roman"/>
          <w:i w:val="0"/>
          <w:color w:val="365F91" w:themeColor="accent1" w:themeShade="BF"/>
          <w:sz w:val="32"/>
          <w:szCs w:val="32"/>
        </w:rPr>
        <w:t xml:space="preserve">ance introductive (1) </w:t>
      </w:r>
      <w:r w:rsidR="00D82935" w:rsidRPr="00D82935">
        <w:rPr>
          <w:rFonts w:ascii="Times New Roman" w:hAnsi="Times New Roman"/>
          <w:color w:val="365F91" w:themeColor="accent1" w:themeShade="BF"/>
          <w:sz w:val="32"/>
          <w:szCs w:val="32"/>
        </w:rPr>
        <w:t>L’a</w:t>
      </w:r>
      <w:r w:rsidR="008E000A" w:rsidRPr="00D82935">
        <w:rPr>
          <w:rFonts w:ascii="Times New Roman" w:hAnsi="Times New Roman"/>
          <w:color w:val="365F91" w:themeColor="accent1" w:themeShade="BF"/>
          <w:sz w:val="32"/>
          <w:szCs w:val="32"/>
        </w:rPr>
        <w:t>nthropocène et l’émergence d</w:t>
      </w:r>
      <w:r w:rsidRPr="00D82935">
        <w:rPr>
          <w:rFonts w:ascii="Times New Roman" w:hAnsi="Times New Roman"/>
          <w:color w:val="365F91" w:themeColor="accent1" w:themeShade="BF"/>
          <w:sz w:val="32"/>
          <w:szCs w:val="32"/>
        </w:rPr>
        <w:t>’un référentiel environnemental</w:t>
      </w:r>
      <w:r w:rsidR="008E000A" w:rsidRPr="00D82935">
        <w:rPr>
          <w:rFonts w:ascii="Times New Roman" w:hAnsi="Times New Roman"/>
          <w:color w:val="365F91" w:themeColor="accent1" w:themeShade="BF"/>
          <w:sz w:val="32"/>
          <w:szCs w:val="32"/>
        </w:rPr>
        <w:t xml:space="preserve"> à l’échelle globale</w:t>
      </w:r>
      <w:r w:rsidR="008E000A" w:rsidRPr="008301AB">
        <w:rPr>
          <w:rFonts w:ascii="Times New Roman" w:hAnsi="Times New Roman"/>
          <w:i w:val="0"/>
          <w:color w:val="365F91" w:themeColor="accent1" w:themeShade="BF"/>
          <w:sz w:val="32"/>
          <w:szCs w:val="32"/>
        </w:rPr>
        <w:t>.</w:t>
      </w:r>
    </w:p>
    <w:p w:rsidR="008301AB" w:rsidRPr="008301AB" w:rsidRDefault="002D235A" w:rsidP="008301AB">
      <w:pPr>
        <w:pStyle w:val="Sous-titre"/>
        <w:jc w:val="center"/>
        <w:rPr>
          <w:rFonts w:ascii="Times New Roman" w:hAnsi="Times New Roman"/>
          <w:i w:val="0"/>
          <w:color w:val="365F91" w:themeColor="accent1" w:themeShade="BF"/>
        </w:rPr>
      </w:pPr>
      <w:r w:rsidRPr="008301AB">
        <w:rPr>
          <w:rFonts w:ascii="Times New Roman" w:hAnsi="Times New Roman"/>
          <w:i w:val="0"/>
          <w:color w:val="365F91" w:themeColor="accent1" w:themeShade="BF"/>
        </w:rPr>
        <w:t>Intervenant:</w:t>
      </w:r>
    </w:p>
    <w:p w:rsidR="008E000A" w:rsidRPr="008301AB" w:rsidRDefault="003A234E" w:rsidP="008E000A">
      <w:pPr>
        <w:pStyle w:val="Sous-titre"/>
        <w:jc w:val="center"/>
        <w:rPr>
          <w:rFonts w:ascii="Times New Roman" w:hAnsi="Times New Roman"/>
          <w:i w:val="0"/>
          <w:color w:val="365F91" w:themeColor="accent1" w:themeShade="BF"/>
        </w:rPr>
      </w:pPr>
      <w:r w:rsidRPr="008301AB">
        <w:rPr>
          <w:rFonts w:ascii="Times New Roman" w:hAnsi="Times New Roman"/>
          <w:i w:val="0"/>
          <w:color w:val="365F91" w:themeColor="accent1" w:themeShade="BF"/>
        </w:rPr>
        <w:t>Benoit Hazard</w:t>
      </w:r>
      <w:r w:rsidR="008E000A" w:rsidRPr="008301AB">
        <w:rPr>
          <w:rFonts w:ascii="Times New Roman" w:hAnsi="Times New Roman"/>
          <w:i w:val="0"/>
          <w:color w:val="365F91" w:themeColor="accent1" w:themeShade="BF"/>
        </w:rPr>
        <w:t xml:space="preserve"> (anthropologue, chargé de recherche au CNRS, IIAC).</w:t>
      </w:r>
    </w:p>
    <w:p w:rsidR="00D82935" w:rsidRDefault="00D82935" w:rsidP="00D82935">
      <w:pPr>
        <w:jc w:val="center"/>
        <w:rPr>
          <w:rFonts w:ascii="Times" w:hAnsi="Times"/>
          <w:sz w:val="32"/>
          <w:szCs w:val="32"/>
        </w:rPr>
      </w:pPr>
    </w:p>
    <w:p w:rsidR="003A234E" w:rsidRPr="008301AB" w:rsidRDefault="003A234E" w:rsidP="00D82935">
      <w:pPr>
        <w:jc w:val="center"/>
        <w:rPr>
          <w:rFonts w:ascii="Times" w:hAnsi="Times"/>
          <w:sz w:val="32"/>
          <w:szCs w:val="32"/>
        </w:rPr>
      </w:pPr>
      <w:r w:rsidRPr="008301AB">
        <w:rPr>
          <w:rFonts w:ascii="Times" w:hAnsi="Times"/>
          <w:sz w:val="32"/>
          <w:szCs w:val="32"/>
        </w:rPr>
        <w:t>Jeudi 16 octobre 2014</w:t>
      </w:r>
    </w:p>
    <w:p w:rsidR="008301AB" w:rsidRPr="008301AB" w:rsidRDefault="008301AB" w:rsidP="00D82935">
      <w:pPr>
        <w:jc w:val="center"/>
      </w:pPr>
      <w:r w:rsidRPr="008301AB">
        <w:t>Salle 4, 105 bd Raspail 75006 Paris</w:t>
      </w:r>
    </w:p>
    <w:p w:rsidR="008301AB" w:rsidRPr="008301AB" w:rsidRDefault="003A234E" w:rsidP="003A234E">
      <w:pPr>
        <w:spacing w:before="100" w:beforeAutospacing="1" w:after="100" w:afterAutospacing="1"/>
        <w:jc w:val="both"/>
        <w:rPr>
          <w:rFonts w:ascii="Times" w:hAnsi="Times"/>
          <w:sz w:val="20"/>
          <w:szCs w:val="20"/>
        </w:rPr>
      </w:pPr>
      <w:r w:rsidRPr="008301AB">
        <w:rPr>
          <w:rFonts w:ascii="Times" w:hAnsi="Times"/>
          <w:sz w:val="20"/>
          <w:szCs w:val="20"/>
        </w:rPr>
        <w:t>L’anthropocène désigne une nouvelle ère géologique («</w:t>
      </w:r>
      <w:r w:rsidRPr="008301AB">
        <w:rPr>
          <w:rFonts w:ascii="Times" w:hAnsi="Times"/>
          <w:i/>
          <w:iCs/>
          <w:sz w:val="20"/>
          <w:szCs w:val="20"/>
        </w:rPr>
        <w:t> la nouvelle période des humains</w:t>
      </w:r>
      <w:r w:rsidRPr="008301AB">
        <w:rPr>
          <w:rFonts w:ascii="Times" w:hAnsi="Times"/>
          <w:sz w:val="20"/>
          <w:szCs w:val="20"/>
        </w:rPr>
        <w:t> ») débutant avec  la révolution industrielle du XVIII</w:t>
      </w:r>
      <w:r w:rsidRPr="008301AB">
        <w:rPr>
          <w:rFonts w:ascii="Times" w:hAnsi="Times"/>
          <w:sz w:val="20"/>
          <w:szCs w:val="20"/>
          <w:vertAlign w:val="superscript"/>
        </w:rPr>
        <w:t>e</w:t>
      </w:r>
      <w:r w:rsidRPr="008301AB">
        <w:rPr>
          <w:rFonts w:ascii="Times" w:hAnsi="Times"/>
          <w:sz w:val="20"/>
          <w:szCs w:val="20"/>
        </w:rPr>
        <w:t xml:space="preserve"> siècle et qui, marquée par l’influence de l’homme sur le système terrestre, succéderait à l’ère de l’holocène. Dans la période récente, l’étude de l’activité humaine a mis à jour de nouveaux objets liés à l’émergence d’un référentiel environnemental dans les politiques publiques. Globalisation, limites de la croissance, finitude et épuisement des ressources, climat forment une constellation lexicale  autour de laquelle émergent des controverses scientifiques et les terrains d’une nouvelle ethnographie des situations critiques</w:t>
      </w:r>
      <w:proofErr w:type="gramStart"/>
      <w:r w:rsidRPr="008301AB">
        <w:rPr>
          <w:rFonts w:ascii="Times" w:hAnsi="Times"/>
          <w:sz w:val="20"/>
          <w:szCs w:val="20"/>
        </w:rPr>
        <w:t>.</w:t>
      </w:r>
      <w:proofErr w:type="gramEnd"/>
      <w:r w:rsidR="002478D9">
        <w:rPr>
          <w:rFonts w:ascii="Times" w:hAnsi="Times"/>
          <w:sz w:val="20"/>
          <w:szCs w:val="20"/>
        </w:rPr>
        <w:t xml:space="preserve"> </w:t>
      </w:r>
      <w:r w:rsidRPr="008301AB">
        <w:rPr>
          <w:rFonts w:ascii="Times" w:hAnsi="Times"/>
          <w:sz w:val="20"/>
          <w:szCs w:val="20"/>
        </w:rPr>
        <w:t xml:space="preserve">L’anthropocène </w:t>
      </w:r>
      <w:proofErr w:type="gramStart"/>
      <w:r w:rsidRPr="008301AB">
        <w:rPr>
          <w:rFonts w:ascii="Times" w:hAnsi="Times"/>
          <w:sz w:val="20"/>
          <w:szCs w:val="20"/>
        </w:rPr>
        <w:t>met en lumière</w:t>
      </w:r>
      <w:proofErr w:type="gramEnd"/>
      <w:r w:rsidRPr="008301AB">
        <w:rPr>
          <w:rFonts w:ascii="Times" w:hAnsi="Times"/>
          <w:sz w:val="20"/>
          <w:szCs w:val="20"/>
        </w:rPr>
        <w:t xml:space="preserve"> la place prise par les sciences de la terre dans les discours et les pratiques scientifiques. </w:t>
      </w:r>
      <w:r w:rsidR="008301AB" w:rsidRPr="008301AB">
        <w:rPr>
          <w:rFonts w:ascii="Times" w:hAnsi="Times"/>
          <w:sz w:val="20"/>
          <w:szCs w:val="20"/>
        </w:rPr>
        <w:t xml:space="preserve">Non seulement, la thèse </w:t>
      </w:r>
      <w:r w:rsidR="008301AB">
        <w:rPr>
          <w:rFonts w:ascii="Times" w:hAnsi="Times"/>
          <w:sz w:val="20"/>
          <w:szCs w:val="20"/>
        </w:rPr>
        <w:t>souligne</w:t>
      </w:r>
      <w:r w:rsidR="008301AB" w:rsidRPr="008301AB">
        <w:rPr>
          <w:rFonts w:ascii="Times" w:hAnsi="Times"/>
          <w:sz w:val="20"/>
          <w:szCs w:val="20"/>
        </w:rPr>
        <w:t xml:space="preserve"> l’action inédite de l’homme sur son environnement, mais elle souligne son importance dans l’émergence d’une conscience environnementale</w:t>
      </w:r>
      <w:r w:rsidR="008301AB">
        <w:rPr>
          <w:rFonts w:ascii="Times" w:hAnsi="Times"/>
          <w:sz w:val="20"/>
          <w:szCs w:val="20"/>
        </w:rPr>
        <w:t xml:space="preserve"> et de ses outils de remédiation</w:t>
      </w:r>
      <w:r w:rsidR="008301AB" w:rsidRPr="008301AB">
        <w:rPr>
          <w:rFonts w:ascii="Times" w:hAnsi="Times"/>
          <w:sz w:val="20"/>
          <w:szCs w:val="20"/>
        </w:rPr>
        <w:t>.</w:t>
      </w:r>
      <w:r w:rsidRPr="008301AB">
        <w:rPr>
          <w:rFonts w:ascii="Times" w:hAnsi="Times"/>
          <w:sz w:val="20"/>
          <w:szCs w:val="20"/>
        </w:rPr>
        <w:t xml:space="preserve"> Objet technocratique issu de logiques non savantes, l’anthropocène est ainsi une « matière politique », une sorte d’injonction posée aux sciences humaines de construire des réponses pour faire face aux changements socio-écologiques, tant parce qu’elle annonce une rupture épistémologique dans notre manière de penser les relations entre l’homme et ses productions de la nature autant qu’une réalité à décrire.</w:t>
      </w:r>
    </w:p>
    <w:p w:rsidR="003A234E" w:rsidRPr="008301AB" w:rsidRDefault="003A234E" w:rsidP="003A234E">
      <w:pPr>
        <w:spacing w:before="100" w:beforeAutospacing="1" w:after="100" w:afterAutospacing="1"/>
        <w:jc w:val="both"/>
        <w:rPr>
          <w:rFonts w:ascii="Times" w:hAnsi="Times"/>
          <w:sz w:val="20"/>
          <w:szCs w:val="20"/>
        </w:rPr>
      </w:pPr>
      <w:r w:rsidRPr="008301AB">
        <w:rPr>
          <w:rFonts w:ascii="Times" w:hAnsi="Times"/>
          <w:sz w:val="20"/>
          <w:szCs w:val="20"/>
        </w:rPr>
        <w:t>Pour rendre compte des interactions complexes qui traversent l’anthropocène, l’atelier</w:t>
      </w:r>
      <w:r w:rsidR="008301AB">
        <w:rPr>
          <w:rFonts w:ascii="Times" w:hAnsi="Times"/>
          <w:sz w:val="20"/>
          <w:szCs w:val="20"/>
        </w:rPr>
        <w:t xml:space="preserve"> </w:t>
      </w:r>
      <w:r w:rsidR="008301AB" w:rsidRPr="008301AB">
        <w:rPr>
          <w:rFonts w:ascii="Times" w:hAnsi="Times"/>
          <w:sz w:val="20"/>
          <w:szCs w:val="20"/>
        </w:rPr>
        <w:t>explore</w:t>
      </w:r>
      <w:r w:rsidR="008301AB">
        <w:rPr>
          <w:rFonts w:ascii="Times" w:hAnsi="Times"/>
          <w:sz w:val="20"/>
          <w:szCs w:val="20"/>
        </w:rPr>
        <w:t xml:space="preserve"> les travaux qui </w:t>
      </w:r>
      <w:r w:rsidRPr="008301AB">
        <w:rPr>
          <w:rFonts w:ascii="Times" w:hAnsi="Times"/>
          <w:sz w:val="20"/>
          <w:szCs w:val="20"/>
        </w:rPr>
        <w:t>placent l’environnement (biodiversité, patrimonialisation de la nature, ruralités, pollutions industrielles) au cœur de la recherche en sciences sociales. Il s’appuie sur les travaux du projet de recherche REAL (</w:t>
      </w:r>
      <w:r w:rsidRPr="008301AB">
        <w:rPr>
          <w:rFonts w:ascii="Times" w:hAnsi="Times"/>
          <w:i/>
          <w:iCs/>
          <w:sz w:val="20"/>
          <w:szCs w:val="20"/>
        </w:rPr>
        <w:t>Resilient pasts and sustainable futures ? The long-term social-ecological dynamics of East African landscapes in temporal, spatial and social perspectives</w:t>
      </w:r>
      <w:r w:rsidRPr="008301AB">
        <w:rPr>
          <w:rFonts w:ascii="Times" w:hAnsi="Times"/>
          <w:sz w:val="20"/>
          <w:szCs w:val="20"/>
        </w:rPr>
        <w:t>, Programme de formation initiale, Marie-Curie), plus spécifiquement orientées vers des études anthropologiques et archéologiques situées en Afrique. En poursuivant l’exploration de l’anthropocène à travers des lectures de textes et des exercices, nous nous attacherons à décrire les scènes de l’anthropocène à l’appui d’ethnographies qui mettent l’accent sur les relations entre les activités extractives, les réorganisations des sociétés et les dynamiques socio-écologiques. Une attention particulière sera portée aux « cultures de l’anthropocène » et à la nécessité d’allier l’interdisciplinarité avec celle de l’enquête ethnographique extrêmement détaillée.</w:t>
      </w:r>
    </w:p>
    <w:p w:rsidR="00AD531D" w:rsidRDefault="00AD531D" w:rsidP="008301AB">
      <w:pPr>
        <w:jc w:val="both"/>
        <w:rPr>
          <w:b/>
          <w:bCs/>
        </w:rPr>
      </w:pPr>
      <w:r>
        <w:rPr>
          <w:b/>
          <w:bCs/>
        </w:rPr>
        <w:t>Séances à venir</w:t>
      </w:r>
      <w:r w:rsidR="004047BE">
        <w:rPr>
          <w:b/>
          <w:bCs/>
        </w:rPr>
        <w:t xml:space="preserve"> / next sessions</w:t>
      </w:r>
      <w:r>
        <w:rPr>
          <w:b/>
          <w:bCs/>
        </w:rPr>
        <w:t xml:space="preserve"> : </w:t>
      </w:r>
    </w:p>
    <w:p w:rsidR="002478D9" w:rsidRPr="002478D9" w:rsidRDefault="00AD531D" w:rsidP="002478D9">
      <w:pPr>
        <w:pStyle w:val="Paragraphedeliste"/>
        <w:numPr>
          <w:ilvl w:val="0"/>
          <w:numId w:val="4"/>
        </w:numPr>
        <w:ind w:left="426" w:hanging="66"/>
        <w:jc w:val="both"/>
        <w:rPr>
          <w:b/>
          <w:bCs/>
        </w:rPr>
      </w:pPr>
      <w:proofErr w:type="gramStart"/>
      <w:r w:rsidRPr="002478D9">
        <w:rPr>
          <w:b/>
          <w:bCs/>
        </w:rPr>
        <w:t>novembre</w:t>
      </w:r>
      <w:proofErr w:type="gramEnd"/>
      <w:r w:rsidRPr="002478D9">
        <w:rPr>
          <w:b/>
          <w:bCs/>
        </w:rPr>
        <w:t xml:space="preserve"> 2014 :</w:t>
      </w:r>
      <w:r w:rsidR="002E4EFC" w:rsidRPr="002478D9">
        <w:rPr>
          <w:b/>
          <w:bCs/>
        </w:rPr>
        <w:t xml:space="preserve"> </w:t>
      </w:r>
      <w:proofErr w:type="spellStart"/>
      <w:r w:rsidR="002E4EFC" w:rsidRPr="002478D9">
        <w:rPr>
          <w:bCs/>
        </w:rPr>
        <w:t>Benoit</w:t>
      </w:r>
      <w:proofErr w:type="spellEnd"/>
      <w:r w:rsidR="002E4EFC" w:rsidRPr="002478D9">
        <w:rPr>
          <w:bCs/>
        </w:rPr>
        <w:t xml:space="preserve"> Hazard (CNRS)</w:t>
      </w:r>
      <w:r w:rsidRPr="002478D9">
        <w:rPr>
          <w:bCs/>
        </w:rPr>
        <w:t xml:space="preserve"> </w:t>
      </w:r>
      <w:r w:rsidR="002E4EFC" w:rsidRPr="002478D9">
        <w:rPr>
          <w:bCs/>
        </w:rPr>
        <w:t>« Lieux d’eau</w:t>
      </w:r>
      <w:r w:rsidR="002478D9">
        <w:rPr>
          <w:bCs/>
        </w:rPr>
        <w:t xml:space="preserve"> » et aquifères souterrains des </w:t>
      </w:r>
      <w:r w:rsidR="002E4EFC" w:rsidRPr="002478D9">
        <w:rPr>
          <w:bCs/>
        </w:rPr>
        <w:t xml:space="preserve">zones arides du nord Kenya : quelles frontières </w:t>
      </w:r>
      <w:proofErr w:type="spellStart"/>
      <w:r w:rsidR="002E4EFC" w:rsidRPr="002478D9">
        <w:rPr>
          <w:bCs/>
        </w:rPr>
        <w:t>bio</w:t>
      </w:r>
      <w:r w:rsidR="00875FEA" w:rsidRPr="002478D9">
        <w:rPr>
          <w:bCs/>
        </w:rPr>
        <w:t>-</w:t>
      </w:r>
      <w:r w:rsidR="002E4EFC" w:rsidRPr="002478D9">
        <w:rPr>
          <w:bCs/>
        </w:rPr>
        <w:t>culturelles</w:t>
      </w:r>
      <w:proofErr w:type="spellEnd"/>
      <w:r w:rsidRPr="002478D9">
        <w:rPr>
          <w:bCs/>
        </w:rPr>
        <w:t xml:space="preserve"> </w:t>
      </w:r>
      <w:r w:rsidR="002E4EFC" w:rsidRPr="002478D9">
        <w:rPr>
          <w:bCs/>
        </w:rPr>
        <w:t>à l’ère de l’anthropocène</w:t>
      </w:r>
      <w:r w:rsidR="002478D9" w:rsidRPr="002478D9">
        <w:rPr>
          <w:b/>
          <w:bCs/>
        </w:rPr>
        <w:t xml:space="preserve"> </w:t>
      </w:r>
      <w:r w:rsidR="002478D9">
        <w:rPr>
          <w:b/>
          <w:bCs/>
        </w:rPr>
        <w:t xml:space="preserve">/ </w:t>
      </w:r>
      <w:r w:rsidR="008301AB" w:rsidRPr="002478D9">
        <w:rPr>
          <w:b/>
          <w:bCs/>
        </w:rPr>
        <w:t>20 novembre 2014</w:t>
      </w:r>
      <w:r w:rsidRPr="002478D9">
        <w:rPr>
          <w:b/>
          <w:bCs/>
        </w:rPr>
        <w:t xml:space="preserve"> : </w:t>
      </w:r>
      <w:r w:rsidRPr="002478D9">
        <w:rPr>
          <w:rFonts w:eastAsia="Times New Roman"/>
        </w:rPr>
        <w:t>Jorge Rowlands (EHESS)</w:t>
      </w:r>
      <w:r w:rsidR="00875FEA" w:rsidRPr="002478D9">
        <w:rPr>
          <w:rFonts w:eastAsia="Times New Roman"/>
        </w:rPr>
        <w:t>,</w:t>
      </w:r>
      <w:r w:rsidRPr="002478D9">
        <w:rPr>
          <w:rFonts w:eastAsia="Times New Roman"/>
        </w:rPr>
        <w:t xml:space="preserve"> La construction sociale de la pénurie d’eau et l’industrie minière </w:t>
      </w:r>
      <w:r w:rsidR="002478D9">
        <w:rPr>
          <w:rFonts w:eastAsia="Times New Roman"/>
        </w:rPr>
        <w:t xml:space="preserve">dans le bassin de Loa (Chili) / </w:t>
      </w:r>
      <w:r w:rsidR="008301AB" w:rsidRPr="002478D9">
        <w:rPr>
          <w:b/>
          <w:bCs/>
        </w:rPr>
        <w:t xml:space="preserve">4 </w:t>
      </w:r>
      <w:r w:rsidRPr="002478D9">
        <w:rPr>
          <w:b/>
          <w:bCs/>
        </w:rPr>
        <w:t xml:space="preserve">décembre 2014 : </w:t>
      </w:r>
      <w:r w:rsidRPr="002478D9">
        <w:rPr>
          <w:bCs/>
        </w:rPr>
        <w:t xml:space="preserve">Christine </w:t>
      </w:r>
      <w:proofErr w:type="spellStart"/>
      <w:r w:rsidRPr="002478D9">
        <w:rPr>
          <w:bCs/>
        </w:rPr>
        <w:t>Adongo</w:t>
      </w:r>
      <w:proofErr w:type="spellEnd"/>
      <w:r w:rsidRPr="002478D9">
        <w:rPr>
          <w:bCs/>
        </w:rPr>
        <w:t xml:space="preserve"> (REAL- EHESS) :</w:t>
      </w:r>
      <w:r w:rsidRPr="002478D9">
        <w:rPr>
          <w:b/>
          <w:bCs/>
        </w:rPr>
        <w:t xml:space="preserve"> </w:t>
      </w:r>
      <w:r w:rsidR="002E4EFC" w:rsidRPr="002478D9">
        <w:rPr>
          <w:bCs/>
        </w:rPr>
        <w:t xml:space="preserve">L’essor de la géothermie dans les </w:t>
      </w:r>
      <w:proofErr w:type="spellStart"/>
      <w:r w:rsidR="002E4EFC" w:rsidRPr="002478D9">
        <w:rPr>
          <w:bCs/>
          <w:i/>
        </w:rPr>
        <w:t>masailand</w:t>
      </w:r>
      <w:proofErr w:type="spellEnd"/>
      <w:r w:rsidR="002478D9">
        <w:rPr>
          <w:bCs/>
        </w:rPr>
        <w:t xml:space="preserve"> de la vallée centrale du rift/ </w:t>
      </w:r>
      <w:r w:rsidR="002478D9" w:rsidRPr="002478D9">
        <w:rPr>
          <w:b/>
          <w:bCs/>
        </w:rPr>
        <w:t>1</w:t>
      </w:r>
      <w:r w:rsidRPr="002478D9">
        <w:rPr>
          <w:b/>
          <w:bCs/>
        </w:rPr>
        <w:t>8 décembre 2014</w:t>
      </w:r>
      <w:r w:rsidR="004047BE" w:rsidRPr="002478D9">
        <w:rPr>
          <w:b/>
          <w:bCs/>
        </w:rPr>
        <w:t xml:space="preserve"> / </w:t>
      </w:r>
      <w:r w:rsidR="008301AB" w:rsidRPr="002478D9">
        <w:rPr>
          <w:b/>
          <w:bCs/>
        </w:rPr>
        <w:t>15</w:t>
      </w:r>
      <w:r w:rsidR="004047BE" w:rsidRPr="002478D9">
        <w:rPr>
          <w:b/>
          <w:bCs/>
        </w:rPr>
        <w:t xml:space="preserve"> Janvier 2015</w:t>
      </w:r>
      <w:r w:rsidR="008301AB" w:rsidRPr="002478D9">
        <w:rPr>
          <w:b/>
          <w:bCs/>
        </w:rPr>
        <w:t xml:space="preserve"> </w:t>
      </w:r>
      <w:r w:rsidR="004047BE" w:rsidRPr="002478D9">
        <w:rPr>
          <w:b/>
          <w:bCs/>
        </w:rPr>
        <w:t xml:space="preserve">/ </w:t>
      </w:r>
      <w:r w:rsidR="002478D9">
        <w:rPr>
          <w:b/>
          <w:bCs/>
        </w:rPr>
        <w:t>30 janvier 2015.</w:t>
      </w:r>
      <w:r w:rsidRPr="002478D9">
        <w:rPr>
          <w:b/>
          <w:bCs/>
        </w:rPr>
        <w:t xml:space="preserve"> </w:t>
      </w:r>
    </w:p>
    <w:p w:rsidR="002478D9" w:rsidRDefault="002478D9" w:rsidP="002478D9">
      <w:pPr>
        <w:ind w:left="360"/>
        <w:jc w:val="both"/>
        <w:rPr>
          <w:rFonts w:ascii="Times" w:hAnsi="Times"/>
          <w:b/>
          <w:sz w:val="20"/>
          <w:szCs w:val="20"/>
        </w:rPr>
      </w:pPr>
    </w:p>
    <w:p w:rsidR="008301AB" w:rsidRPr="002478D9" w:rsidRDefault="008301AB" w:rsidP="002478D9">
      <w:pPr>
        <w:ind w:left="360"/>
        <w:jc w:val="both"/>
        <w:rPr>
          <w:b/>
          <w:bCs/>
        </w:rPr>
      </w:pPr>
      <w:r w:rsidRPr="002478D9">
        <w:rPr>
          <w:rFonts w:ascii="Times" w:hAnsi="Times"/>
          <w:b/>
          <w:sz w:val="20"/>
          <w:szCs w:val="20"/>
        </w:rPr>
        <w:t>Niveau requis :</w:t>
      </w:r>
      <w:r w:rsidRPr="002478D9">
        <w:rPr>
          <w:rFonts w:ascii="Times" w:hAnsi="Times"/>
          <w:sz w:val="20"/>
          <w:szCs w:val="20"/>
        </w:rPr>
        <w:t xml:space="preserve"> Étudiant de niveau master, doctorat et chercheurs. </w:t>
      </w:r>
      <w:r w:rsidR="003A234E" w:rsidRPr="002478D9">
        <w:rPr>
          <w:rFonts w:ascii="Times" w:eastAsia="Times New Roman" w:hAnsi="Times"/>
          <w:sz w:val="20"/>
          <w:szCs w:val="20"/>
        </w:rPr>
        <w:t xml:space="preserve">Mentions </w:t>
      </w:r>
      <w:proofErr w:type="gramStart"/>
      <w:r w:rsidR="003A234E" w:rsidRPr="002478D9">
        <w:rPr>
          <w:rFonts w:ascii="Times" w:eastAsia="Times New Roman" w:hAnsi="Times"/>
          <w:sz w:val="20"/>
          <w:szCs w:val="20"/>
        </w:rPr>
        <w:t>&amp;</w:t>
      </w:r>
      <w:proofErr w:type="gramEnd"/>
      <w:r w:rsidR="003A234E" w:rsidRPr="002478D9">
        <w:rPr>
          <w:rFonts w:ascii="Times" w:eastAsia="Times New Roman" w:hAnsi="Times"/>
          <w:sz w:val="20"/>
          <w:szCs w:val="20"/>
        </w:rPr>
        <w:t xml:space="preserve"> spécialités : </w:t>
      </w:r>
      <w:hyperlink r:id="rId7" w:history="1">
        <w:r w:rsidR="003A234E" w:rsidRPr="002478D9">
          <w:rPr>
            <w:rFonts w:ascii="Times" w:eastAsia="Times New Roman" w:hAnsi="Times"/>
            <w:color w:val="0000FF"/>
            <w:sz w:val="20"/>
            <w:szCs w:val="20"/>
            <w:u w:val="single"/>
          </w:rPr>
          <w:t>Étude comparative du développement</w:t>
        </w:r>
      </w:hyperlink>
      <w:r w:rsidR="003A234E" w:rsidRPr="002478D9">
        <w:rPr>
          <w:rFonts w:ascii="Times" w:eastAsia="Times New Roman" w:hAnsi="Times"/>
          <w:sz w:val="20"/>
          <w:szCs w:val="20"/>
        </w:rPr>
        <w:t xml:space="preserve"> (Séminaire de recherche M</w:t>
      </w:r>
      <w:r w:rsidR="003A234E" w:rsidRPr="002478D9">
        <w:rPr>
          <w:rFonts w:ascii="Times" w:eastAsia="Times New Roman" w:hAnsi="Times"/>
          <w:sz w:val="20"/>
          <w:szCs w:val="20"/>
          <w:vertAlign w:val="subscript"/>
        </w:rPr>
        <w:t>1</w:t>
      </w:r>
      <w:r w:rsidR="003A234E" w:rsidRPr="002478D9">
        <w:rPr>
          <w:rFonts w:ascii="Times" w:eastAsia="Times New Roman" w:hAnsi="Times"/>
          <w:sz w:val="20"/>
          <w:szCs w:val="20"/>
        </w:rPr>
        <w:t>S</w:t>
      </w:r>
      <w:r w:rsidR="003A234E" w:rsidRPr="002478D9">
        <w:rPr>
          <w:rFonts w:ascii="Times" w:eastAsia="Times New Roman" w:hAnsi="Times"/>
          <w:sz w:val="20"/>
          <w:szCs w:val="20"/>
          <w:vertAlign w:val="subscript"/>
        </w:rPr>
        <w:t>1</w:t>
      </w:r>
      <w:r w:rsidR="003A234E" w:rsidRPr="002478D9">
        <w:rPr>
          <w:rFonts w:ascii="Times" w:eastAsia="Times New Roman" w:hAnsi="Times"/>
          <w:sz w:val="20"/>
          <w:szCs w:val="20"/>
        </w:rPr>
        <w:t xml:space="preserve"> M</w:t>
      </w:r>
      <w:r w:rsidR="003A234E" w:rsidRPr="002478D9">
        <w:rPr>
          <w:rFonts w:ascii="Times" w:eastAsia="Times New Roman" w:hAnsi="Times"/>
          <w:sz w:val="20"/>
          <w:szCs w:val="20"/>
          <w:vertAlign w:val="subscript"/>
        </w:rPr>
        <w:t>1</w:t>
      </w:r>
      <w:r w:rsidR="003A234E" w:rsidRPr="002478D9">
        <w:rPr>
          <w:rFonts w:ascii="Times" w:eastAsia="Times New Roman" w:hAnsi="Times"/>
          <w:sz w:val="20"/>
          <w:szCs w:val="20"/>
        </w:rPr>
        <w:t>S</w:t>
      </w:r>
      <w:r w:rsidR="003A234E" w:rsidRPr="002478D9">
        <w:rPr>
          <w:rFonts w:ascii="Times" w:eastAsia="Times New Roman" w:hAnsi="Times"/>
          <w:sz w:val="20"/>
          <w:szCs w:val="20"/>
          <w:vertAlign w:val="subscript"/>
        </w:rPr>
        <w:t>2</w:t>
      </w:r>
      <w:r w:rsidR="003A234E" w:rsidRPr="002478D9">
        <w:rPr>
          <w:rFonts w:ascii="Times" w:eastAsia="Times New Roman" w:hAnsi="Times"/>
          <w:sz w:val="20"/>
          <w:szCs w:val="20"/>
        </w:rPr>
        <w:t xml:space="preserve"> M</w:t>
      </w:r>
      <w:r w:rsidR="003A234E" w:rsidRPr="002478D9">
        <w:rPr>
          <w:rFonts w:ascii="Times" w:eastAsia="Times New Roman" w:hAnsi="Times"/>
          <w:sz w:val="20"/>
          <w:szCs w:val="20"/>
          <w:vertAlign w:val="subscript"/>
        </w:rPr>
        <w:t>2</w:t>
      </w:r>
      <w:r w:rsidR="003A234E" w:rsidRPr="002478D9">
        <w:rPr>
          <w:rFonts w:ascii="Times" w:eastAsia="Times New Roman" w:hAnsi="Times"/>
          <w:sz w:val="20"/>
          <w:szCs w:val="20"/>
        </w:rPr>
        <w:t>S</w:t>
      </w:r>
      <w:r w:rsidR="003A234E" w:rsidRPr="002478D9">
        <w:rPr>
          <w:rFonts w:ascii="Times" w:eastAsia="Times New Roman" w:hAnsi="Times"/>
          <w:sz w:val="20"/>
          <w:szCs w:val="20"/>
          <w:vertAlign w:val="subscript"/>
        </w:rPr>
        <w:t>3</w:t>
      </w:r>
      <w:r w:rsidR="003A234E" w:rsidRPr="002478D9">
        <w:rPr>
          <w:rFonts w:ascii="Times" w:eastAsia="Times New Roman" w:hAnsi="Times"/>
          <w:sz w:val="20"/>
          <w:szCs w:val="20"/>
        </w:rPr>
        <w:t xml:space="preserve"> M</w:t>
      </w:r>
      <w:r w:rsidR="003A234E" w:rsidRPr="002478D9">
        <w:rPr>
          <w:rFonts w:ascii="Times" w:eastAsia="Times New Roman" w:hAnsi="Times"/>
          <w:sz w:val="20"/>
          <w:szCs w:val="20"/>
          <w:vertAlign w:val="subscript"/>
        </w:rPr>
        <w:t>2</w:t>
      </w:r>
      <w:r w:rsidR="003A234E" w:rsidRPr="002478D9">
        <w:rPr>
          <w:rFonts w:ascii="Times" w:eastAsia="Times New Roman" w:hAnsi="Times"/>
          <w:sz w:val="20"/>
          <w:szCs w:val="20"/>
        </w:rPr>
        <w:t>S</w:t>
      </w:r>
      <w:r w:rsidR="003A234E" w:rsidRPr="002478D9">
        <w:rPr>
          <w:rFonts w:ascii="Times" w:eastAsia="Times New Roman" w:hAnsi="Times"/>
          <w:sz w:val="20"/>
          <w:szCs w:val="20"/>
          <w:vertAlign w:val="subscript"/>
        </w:rPr>
        <w:t>4</w:t>
      </w:r>
      <w:r w:rsidR="003A234E" w:rsidRPr="002478D9">
        <w:rPr>
          <w:rFonts w:ascii="Times" w:eastAsia="Times New Roman" w:hAnsi="Times"/>
          <w:sz w:val="20"/>
          <w:szCs w:val="20"/>
        </w:rPr>
        <w:t xml:space="preserve">) - </w:t>
      </w:r>
      <w:hyperlink r:id="rId8" w:history="1">
        <w:r w:rsidR="003A234E" w:rsidRPr="002478D9">
          <w:rPr>
            <w:rFonts w:ascii="Times" w:eastAsia="Times New Roman" w:hAnsi="Times"/>
            <w:color w:val="0000FF"/>
            <w:sz w:val="20"/>
            <w:szCs w:val="20"/>
            <w:u w:val="single"/>
          </w:rPr>
          <w:t>Territoires, espaces, sociétés</w:t>
        </w:r>
      </w:hyperlink>
      <w:r w:rsidR="003A234E" w:rsidRPr="002478D9">
        <w:rPr>
          <w:rFonts w:ascii="Times" w:eastAsia="Times New Roman" w:hAnsi="Times"/>
          <w:sz w:val="20"/>
          <w:szCs w:val="20"/>
        </w:rPr>
        <w:t xml:space="preserve"> (Séminaire de recherche M</w:t>
      </w:r>
      <w:r w:rsidR="003A234E" w:rsidRPr="002478D9">
        <w:rPr>
          <w:rFonts w:ascii="Times" w:eastAsia="Times New Roman" w:hAnsi="Times"/>
          <w:sz w:val="20"/>
          <w:szCs w:val="20"/>
          <w:vertAlign w:val="subscript"/>
        </w:rPr>
        <w:t>1</w:t>
      </w:r>
      <w:r w:rsidR="003A234E" w:rsidRPr="002478D9">
        <w:rPr>
          <w:rFonts w:ascii="Times" w:eastAsia="Times New Roman" w:hAnsi="Times"/>
          <w:sz w:val="20"/>
          <w:szCs w:val="20"/>
        </w:rPr>
        <w:t>S</w:t>
      </w:r>
      <w:r w:rsidR="003A234E" w:rsidRPr="002478D9">
        <w:rPr>
          <w:rFonts w:ascii="Times" w:eastAsia="Times New Roman" w:hAnsi="Times"/>
          <w:sz w:val="20"/>
          <w:szCs w:val="20"/>
          <w:vertAlign w:val="subscript"/>
        </w:rPr>
        <w:t>1</w:t>
      </w:r>
      <w:r w:rsidR="003A234E" w:rsidRPr="002478D9">
        <w:rPr>
          <w:rFonts w:ascii="Times" w:eastAsia="Times New Roman" w:hAnsi="Times"/>
          <w:sz w:val="20"/>
          <w:szCs w:val="20"/>
        </w:rPr>
        <w:t xml:space="preserve"> M</w:t>
      </w:r>
      <w:r w:rsidR="003A234E" w:rsidRPr="002478D9">
        <w:rPr>
          <w:rFonts w:ascii="Times" w:eastAsia="Times New Roman" w:hAnsi="Times"/>
          <w:sz w:val="20"/>
          <w:szCs w:val="20"/>
          <w:vertAlign w:val="subscript"/>
        </w:rPr>
        <w:t>1</w:t>
      </w:r>
      <w:r w:rsidR="003A234E" w:rsidRPr="002478D9">
        <w:rPr>
          <w:rFonts w:ascii="Times" w:eastAsia="Times New Roman" w:hAnsi="Times"/>
          <w:sz w:val="20"/>
          <w:szCs w:val="20"/>
        </w:rPr>
        <w:t>S</w:t>
      </w:r>
      <w:r w:rsidR="003A234E" w:rsidRPr="002478D9">
        <w:rPr>
          <w:rFonts w:ascii="Times" w:eastAsia="Times New Roman" w:hAnsi="Times"/>
          <w:sz w:val="20"/>
          <w:szCs w:val="20"/>
          <w:vertAlign w:val="subscript"/>
        </w:rPr>
        <w:t>2</w:t>
      </w:r>
      <w:r w:rsidR="003A234E" w:rsidRPr="002478D9">
        <w:rPr>
          <w:rFonts w:ascii="Times" w:eastAsia="Times New Roman" w:hAnsi="Times"/>
          <w:sz w:val="20"/>
          <w:szCs w:val="20"/>
        </w:rPr>
        <w:t xml:space="preserve"> M</w:t>
      </w:r>
      <w:r w:rsidR="003A234E" w:rsidRPr="002478D9">
        <w:rPr>
          <w:rFonts w:ascii="Times" w:eastAsia="Times New Roman" w:hAnsi="Times"/>
          <w:sz w:val="20"/>
          <w:szCs w:val="20"/>
          <w:vertAlign w:val="subscript"/>
        </w:rPr>
        <w:t>2</w:t>
      </w:r>
      <w:r w:rsidR="003A234E" w:rsidRPr="002478D9">
        <w:rPr>
          <w:rFonts w:ascii="Times" w:eastAsia="Times New Roman" w:hAnsi="Times"/>
          <w:sz w:val="20"/>
          <w:szCs w:val="20"/>
        </w:rPr>
        <w:t>S</w:t>
      </w:r>
      <w:r w:rsidR="003A234E" w:rsidRPr="002478D9">
        <w:rPr>
          <w:rFonts w:ascii="Times" w:eastAsia="Times New Roman" w:hAnsi="Times"/>
          <w:sz w:val="20"/>
          <w:szCs w:val="20"/>
          <w:vertAlign w:val="subscript"/>
        </w:rPr>
        <w:t>3</w:t>
      </w:r>
      <w:r w:rsidR="003A234E" w:rsidRPr="002478D9">
        <w:rPr>
          <w:rFonts w:ascii="Times" w:eastAsia="Times New Roman" w:hAnsi="Times"/>
          <w:sz w:val="20"/>
          <w:szCs w:val="20"/>
        </w:rPr>
        <w:t xml:space="preserve"> M</w:t>
      </w:r>
      <w:r w:rsidR="003A234E" w:rsidRPr="002478D9">
        <w:rPr>
          <w:rFonts w:ascii="Times" w:eastAsia="Times New Roman" w:hAnsi="Times"/>
          <w:sz w:val="20"/>
          <w:szCs w:val="20"/>
          <w:vertAlign w:val="subscript"/>
        </w:rPr>
        <w:t>2</w:t>
      </w:r>
      <w:r w:rsidR="003A234E" w:rsidRPr="002478D9">
        <w:rPr>
          <w:rFonts w:ascii="Times" w:eastAsia="Times New Roman" w:hAnsi="Times"/>
          <w:sz w:val="20"/>
          <w:szCs w:val="20"/>
        </w:rPr>
        <w:t>S</w:t>
      </w:r>
      <w:r w:rsidR="003A234E" w:rsidRPr="002478D9">
        <w:rPr>
          <w:rFonts w:ascii="Times" w:eastAsia="Times New Roman" w:hAnsi="Times"/>
          <w:sz w:val="20"/>
          <w:szCs w:val="20"/>
          <w:vertAlign w:val="subscript"/>
        </w:rPr>
        <w:t>4</w:t>
      </w:r>
      <w:r w:rsidR="003A234E" w:rsidRPr="002478D9">
        <w:rPr>
          <w:rFonts w:ascii="Times" w:eastAsia="Times New Roman" w:hAnsi="Times"/>
          <w:sz w:val="20"/>
          <w:szCs w:val="20"/>
        </w:rPr>
        <w:t>)</w:t>
      </w:r>
    </w:p>
    <w:p w:rsidR="002E4EFC" w:rsidRPr="00D82935" w:rsidRDefault="003A234E" w:rsidP="00D82935">
      <w:pPr>
        <w:spacing w:before="100" w:beforeAutospacing="1" w:after="100" w:afterAutospacing="1"/>
        <w:rPr>
          <w:rFonts w:ascii="Times" w:hAnsi="Times"/>
          <w:sz w:val="20"/>
          <w:szCs w:val="20"/>
        </w:rPr>
      </w:pPr>
      <w:proofErr w:type="gramStart"/>
      <w:r w:rsidRPr="008301AB">
        <w:rPr>
          <w:rFonts w:ascii="Times" w:hAnsi="Times"/>
          <w:b/>
          <w:sz w:val="20"/>
          <w:szCs w:val="20"/>
        </w:rPr>
        <w:t>Renseignements</w:t>
      </w:r>
      <w:proofErr w:type="gramEnd"/>
      <w:r w:rsidRPr="008301AB">
        <w:rPr>
          <w:rFonts w:ascii="Times" w:hAnsi="Times"/>
          <w:b/>
          <w:sz w:val="20"/>
          <w:szCs w:val="20"/>
        </w:rPr>
        <w:t> :</w:t>
      </w:r>
      <w:r w:rsidRPr="008301AB">
        <w:rPr>
          <w:rFonts w:ascii="Times" w:hAnsi="Times"/>
          <w:sz w:val="20"/>
          <w:szCs w:val="20"/>
        </w:rPr>
        <w:t xml:space="preserve"> Benoît Hazard, Institut interdisciplinaire d'anthropologie du contemporain, 22 rue d'Athènes</w:t>
      </w:r>
      <w:r w:rsidR="008301AB">
        <w:rPr>
          <w:rFonts w:ascii="Times" w:hAnsi="Times"/>
          <w:sz w:val="20"/>
          <w:szCs w:val="20"/>
        </w:rPr>
        <w:t>,</w:t>
      </w:r>
      <w:r w:rsidRPr="008301AB">
        <w:rPr>
          <w:rFonts w:ascii="Times" w:hAnsi="Times"/>
          <w:sz w:val="20"/>
          <w:szCs w:val="20"/>
        </w:rPr>
        <w:t xml:space="preserve"> 75009 Paris, tél. :</w:t>
      </w:r>
      <w:r w:rsidR="00E76432" w:rsidRPr="008301AB">
        <w:rPr>
          <w:rFonts w:ascii="Times" w:hAnsi="Times"/>
          <w:sz w:val="20"/>
          <w:szCs w:val="20"/>
        </w:rPr>
        <w:t xml:space="preserve"> 01 40 82 75 35 ou par courriel: </w:t>
      </w:r>
      <w:proofErr w:type="spellStart"/>
      <w:r w:rsidR="00E76432" w:rsidRPr="008301AB">
        <w:rPr>
          <w:rFonts w:ascii="Times" w:hAnsi="Times"/>
          <w:sz w:val="20"/>
          <w:szCs w:val="20"/>
        </w:rPr>
        <w:t>bhazard</w:t>
      </w:r>
      <w:proofErr w:type="spellEnd"/>
      <w:r w:rsidR="00E76432" w:rsidRPr="008301AB">
        <w:rPr>
          <w:rFonts w:ascii="Times" w:hAnsi="Times"/>
          <w:sz w:val="20"/>
          <w:szCs w:val="20"/>
        </w:rPr>
        <w:t>(</w:t>
      </w:r>
      <w:proofErr w:type="spellStart"/>
      <w:r w:rsidR="00E76432" w:rsidRPr="008301AB">
        <w:rPr>
          <w:rFonts w:ascii="Times" w:hAnsi="Times"/>
          <w:sz w:val="20"/>
          <w:szCs w:val="20"/>
        </w:rPr>
        <w:t>at</w:t>
      </w:r>
      <w:proofErr w:type="spellEnd"/>
      <w:r w:rsidR="00E76432" w:rsidRPr="008301AB">
        <w:rPr>
          <w:rFonts w:ascii="Times" w:hAnsi="Times"/>
          <w:sz w:val="20"/>
          <w:szCs w:val="20"/>
        </w:rPr>
        <w:t>)ehess.fr</w:t>
      </w:r>
      <w:bookmarkStart w:id="0" w:name="_GoBack"/>
      <w:bookmarkEnd w:id="0"/>
    </w:p>
    <w:sectPr w:rsidR="002E4EFC" w:rsidRPr="00D82935" w:rsidSect="00BC4C01">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Symbol">
    <w:panose1 w:val="00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00002A87" w:usb1="80000000" w:usb2="00000008"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B4B57"/>
    <w:multiLevelType w:val="hybridMultilevel"/>
    <w:tmpl w:val="9C62C338"/>
    <w:lvl w:ilvl="0" w:tplc="9EA4A410">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8853F5E"/>
    <w:multiLevelType w:val="hybridMultilevel"/>
    <w:tmpl w:val="7278033A"/>
    <w:lvl w:ilvl="0" w:tplc="4D3A36DE">
      <w:start w:val="6"/>
      <w:numFmt w:val="bullet"/>
      <w:lvlText w:val=""/>
      <w:lvlJc w:val="left"/>
      <w:pPr>
        <w:ind w:left="720" w:hanging="360"/>
      </w:pPr>
      <w:rPr>
        <w:rFonts w:ascii="Symbol" w:eastAsiaTheme="minorEastAsia" w:hAnsi="Symbol"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B1F58F4"/>
    <w:multiLevelType w:val="multilevel"/>
    <w:tmpl w:val="8B663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6F96EA8"/>
    <w:multiLevelType w:val="multilevel"/>
    <w:tmpl w:val="FC24A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34E"/>
    <w:rsid w:val="002478D9"/>
    <w:rsid w:val="002D235A"/>
    <w:rsid w:val="002E4EFC"/>
    <w:rsid w:val="003A234E"/>
    <w:rsid w:val="004047BE"/>
    <w:rsid w:val="008301AB"/>
    <w:rsid w:val="00875FEA"/>
    <w:rsid w:val="008E000A"/>
    <w:rsid w:val="00AD531D"/>
    <w:rsid w:val="00BC4C01"/>
    <w:rsid w:val="00D82935"/>
    <w:rsid w:val="00E7643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colormenu v:ext="edit" fillcolor="#cfc"/>
    </o:shapedefaults>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fr-FR" w:eastAsia="fr-FR"/>
    </w:rPr>
  </w:style>
  <w:style w:type="paragraph" w:styleId="Titre2">
    <w:name w:val="heading 2"/>
    <w:basedOn w:val="Normal"/>
    <w:link w:val="Titre2Car"/>
    <w:uiPriority w:val="9"/>
    <w:qFormat/>
    <w:rsid w:val="003A234E"/>
    <w:pPr>
      <w:spacing w:before="100" w:beforeAutospacing="1" w:after="100" w:afterAutospacing="1"/>
      <w:outlineLvl w:val="1"/>
    </w:pPr>
    <w:rPr>
      <w:rFonts w:ascii="Times" w:hAnsi="Times"/>
      <w:b/>
      <w:bCs/>
      <w:sz w:val="36"/>
      <w:szCs w:val="36"/>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3A234E"/>
    <w:rPr>
      <w:rFonts w:ascii="Times" w:hAnsi="Times"/>
      <w:b/>
      <w:bCs/>
      <w:sz w:val="36"/>
      <w:szCs w:val="36"/>
      <w:lang w:eastAsia="fr-FR"/>
    </w:rPr>
  </w:style>
  <w:style w:type="character" w:styleId="Lienhypertexte">
    <w:name w:val="Hyperlink"/>
    <w:basedOn w:val="Policepardfaut"/>
    <w:uiPriority w:val="99"/>
    <w:semiHidden/>
    <w:unhideWhenUsed/>
    <w:rsid w:val="003A234E"/>
    <w:rPr>
      <w:color w:val="0000FF"/>
      <w:u w:val="single"/>
    </w:rPr>
  </w:style>
  <w:style w:type="character" w:customStyle="1" w:styleId="principal">
    <w:name w:val="principal"/>
    <w:basedOn w:val="Policepardfaut"/>
    <w:rsid w:val="003A234E"/>
  </w:style>
  <w:style w:type="character" w:customStyle="1" w:styleId="nom">
    <w:name w:val="nom"/>
    <w:basedOn w:val="Policepardfaut"/>
    <w:rsid w:val="003A234E"/>
  </w:style>
  <w:style w:type="character" w:styleId="Accentuation">
    <w:name w:val="Emphasis"/>
    <w:basedOn w:val="Policepardfaut"/>
    <w:uiPriority w:val="20"/>
    <w:qFormat/>
    <w:rsid w:val="003A234E"/>
    <w:rPr>
      <w:i/>
      <w:iCs/>
    </w:rPr>
  </w:style>
  <w:style w:type="paragraph" w:styleId="NormalWeb">
    <w:name w:val="Normal (Web)"/>
    <w:basedOn w:val="Normal"/>
    <w:uiPriority w:val="99"/>
    <w:semiHidden/>
    <w:unhideWhenUsed/>
    <w:rsid w:val="003A234E"/>
    <w:pPr>
      <w:spacing w:before="100" w:beforeAutospacing="1" w:after="100" w:afterAutospacing="1"/>
    </w:pPr>
    <w:rPr>
      <w:rFonts w:ascii="Times" w:hAnsi="Times"/>
      <w:sz w:val="20"/>
      <w:szCs w:val="20"/>
      <w:lang w:val="en-GB"/>
    </w:rPr>
  </w:style>
  <w:style w:type="paragraph" w:customStyle="1" w:styleId="note">
    <w:name w:val="note"/>
    <w:basedOn w:val="Normal"/>
    <w:rsid w:val="003A234E"/>
    <w:pPr>
      <w:spacing w:before="100" w:beforeAutospacing="1" w:after="100" w:afterAutospacing="1"/>
    </w:pPr>
    <w:rPr>
      <w:rFonts w:ascii="Times" w:hAnsi="Times"/>
      <w:sz w:val="20"/>
      <w:szCs w:val="20"/>
      <w:lang w:val="en-GB"/>
    </w:rPr>
  </w:style>
  <w:style w:type="character" w:customStyle="1" w:styleId="etiquette">
    <w:name w:val="etiquette"/>
    <w:basedOn w:val="Policepardfaut"/>
    <w:rsid w:val="003A234E"/>
  </w:style>
  <w:style w:type="paragraph" w:styleId="Sous-titre">
    <w:name w:val="Subtitle"/>
    <w:basedOn w:val="Normal"/>
    <w:next w:val="Normal"/>
    <w:link w:val="Sous-titreCar"/>
    <w:uiPriority w:val="11"/>
    <w:qFormat/>
    <w:rsid w:val="008E000A"/>
    <w:pPr>
      <w:numPr>
        <w:ilvl w:val="1"/>
      </w:numPr>
    </w:pPr>
    <w:rPr>
      <w:rFonts w:asciiTheme="majorHAnsi" w:eastAsiaTheme="majorEastAsia" w:hAnsiTheme="majorHAnsi" w:cstheme="majorBidi"/>
      <w:i/>
      <w:iCs/>
      <w:color w:val="4F81BD" w:themeColor="accent1"/>
      <w:spacing w:val="15"/>
    </w:rPr>
  </w:style>
  <w:style w:type="character" w:customStyle="1" w:styleId="Sous-titreCar">
    <w:name w:val="Sous-titre Car"/>
    <w:basedOn w:val="Policepardfaut"/>
    <w:link w:val="Sous-titre"/>
    <w:uiPriority w:val="11"/>
    <w:rsid w:val="008E000A"/>
    <w:rPr>
      <w:rFonts w:asciiTheme="majorHAnsi" w:eastAsiaTheme="majorEastAsia" w:hAnsiTheme="majorHAnsi" w:cstheme="majorBidi"/>
      <w:i/>
      <w:iCs/>
      <w:color w:val="4F81BD" w:themeColor="accent1"/>
      <w:spacing w:val="15"/>
      <w:sz w:val="24"/>
      <w:szCs w:val="24"/>
      <w:lang w:val="fr-FR" w:eastAsia="fr-FR"/>
    </w:rPr>
  </w:style>
  <w:style w:type="paragraph" w:styleId="Paragraphedeliste">
    <w:name w:val="List Paragraph"/>
    <w:basedOn w:val="Normal"/>
    <w:uiPriority w:val="34"/>
    <w:qFormat/>
    <w:rsid w:val="00AD531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fr-FR" w:eastAsia="fr-FR"/>
    </w:rPr>
  </w:style>
  <w:style w:type="paragraph" w:styleId="Titre2">
    <w:name w:val="heading 2"/>
    <w:basedOn w:val="Normal"/>
    <w:link w:val="Titre2Car"/>
    <w:uiPriority w:val="9"/>
    <w:qFormat/>
    <w:rsid w:val="003A234E"/>
    <w:pPr>
      <w:spacing w:before="100" w:beforeAutospacing="1" w:after="100" w:afterAutospacing="1"/>
      <w:outlineLvl w:val="1"/>
    </w:pPr>
    <w:rPr>
      <w:rFonts w:ascii="Times" w:hAnsi="Times"/>
      <w:b/>
      <w:bCs/>
      <w:sz w:val="36"/>
      <w:szCs w:val="36"/>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3A234E"/>
    <w:rPr>
      <w:rFonts w:ascii="Times" w:hAnsi="Times"/>
      <w:b/>
      <w:bCs/>
      <w:sz w:val="36"/>
      <w:szCs w:val="36"/>
      <w:lang w:eastAsia="fr-FR"/>
    </w:rPr>
  </w:style>
  <w:style w:type="character" w:styleId="Lienhypertexte">
    <w:name w:val="Hyperlink"/>
    <w:basedOn w:val="Policepardfaut"/>
    <w:uiPriority w:val="99"/>
    <w:semiHidden/>
    <w:unhideWhenUsed/>
    <w:rsid w:val="003A234E"/>
    <w:rPr>
      <w:color w:val="0000FF"/>
      <w:u w:val="single"/>
    </w:rPr>
  </w:style>
  <w:style w:type="character" w:customStyle="1" w:styleId="principal">
    <w:name w:val="principal"/>
    <w:basedOn w:val="Policepardfaut"/>
    <w:rsid w:val="003A234E"/>
  </w:style>
  <w:style w:type="character" w:customStyle="1" w:styleId="nom">
    <w:name w:val="nom"/>
    <w:basedOn w:val="Policepardfaut"/>
    <w:rsid w:val="003A234E"/>
  </w:style>
  <w:style w:type="character" w:styleId="Accentuation">
    <w:name w:val="Emphasis"/>
    <w:basedOn w:val="Policepardfaut"/>
    <w:uiPriority w:val="20"/>
    <w:qFormat/>
    <w:rsid w:val="003A234E"/>
    <w:rPr>
      <w:i/>
      <w:iCs/>
    </w:rPr>
  </w:style>
  <w:style w:type="paragraph" w:styleId="NormalWeb">
    <w:name w:val="Normal (Web)"/>
    <w:basedOn w:val="Normal"/>
    <w:uiPriority w:val="99"/>
    <w:semiHidden/>
    <w:unhideWhenUsed/>
    <w:rsid w:val="003A234E"/>
    <w:pPr>
      <w:spacing w:before="100" w:beforeAutospacing="1" w:after="100" w:afterAutospacing="1"/>
    </w:pPr>
    <w:rPr>
      <w:rFonts w:ascii="Times" w:hAnsi="Times"/>
      <w:sz w:val="20"/>
      <w:szCs w:val="20"/>
      <w:lang w:val="en-GB"/>
    </w:rPr>
  </w:style>
  <w:style w:type="paragraph" w:customStyle="1" w:styleId="note">
    <w:name w:val="note"/>
    <w:basedOn w:val="Normal"/>
    <w:rsid w:val="003A234E"/>
    <w:pPr>
      <w:spacing w:before="100" w:beforeAutospacing="1" w:after="100" w:afterAutospacing="1"/>
    </w:pPr>
    <w:rPr>
      <w:rFonts w:ascii="Times" w:hAnsi="Times"/>
      <w:sz w:val="20"/>
      <w:szCs w:val="20"/>
      <w:lang w:val="en-GB"/>
    </w:rPr>
  </w:style>
  <w:style w:type="character" w:customStyle="1" w:styleId="etiquette">
    <w:name w:val="etiquette"/>
    <w:basedOn w:val="Policepardfaut"/>
    <w:rsid w:val="003A234E"/>
  </w:style>
  <w:style w:type="paragraph" w:styleId="Sous-titre">
    <w:name w:val="Subtitle"/>
    <w:basedOn w:val="Normal"/>
    <w:next w:val="Normal"/>
    <w:link w:val="Sous-titreCar"/>
    <w:uiPriority w:val="11"/>
    <w:qFormat/>
    <w:rsid w:val="008E000A"/>
    <w:pPr>
      <w:numPr>
        <w:ilvl w:val="1"/>
      </w:numPr>
    </w:pPr>
    <w:rPr>
      <w:rFonts w:asciiTheme="majorHAnsi" w:eastAsiaTheme="majorEastAsia" w:hAnsiTheme="majorHAnsi" w:cstheme="majorBidi"/>
      <w:i/>
      <w:iCs/>
      <w:color w:val="4F81BD" w:themeColor="accent1"/>
      <w:spacing w:val="15"/>
    </w:rPr>
  </w:style>
  <w:style w:type="character" w:customStyle="1" w:styleId="Sous-titreCar">
    <w:name w:val="Sous-titre Car"/>
    <w:basedOn w:val="Policepardfaut"/>
    <w:link w:val="Sous-titre"/>
    <w:uiPriority w:val="11"/>
    <w:rsid w:val="008E000A"/>
    <w:rPr>
      <w:rFonts w:asciiTheme="majorHAnsi" w:eastAsiaTheme="majorEastAsia" w:hAnsiTheme="majorHAnsi" w:cstheme="majorBidi"/>
      <w:i/>
      <w:iCs/>
      <w:color w:val="4F81BD" w:themeColor="accent1"/>
      <w:spacing w:val="15"/>
      <w:sz w:val="24"/>
      <w:szCs w:val="24"/>
      <w:lang w:val="fr-FR" w:eastAsia="fr-FR"/>
    </w:rPr>
  </w:style>
  <w:style w:type="paragraph" w:styleId="Paragraphedeliste">
    <w:name w:val="List Paragraph"/>
    <w:basedOn w:val="Normal"/>
    <w:uiPriority w:val="34"/>
    <w:qFormat/>
    <w:rsid w:val="00AD53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796697">
      <w:bodyDiv w:val="1"/>
      <w:marLeft w:val="0"/>
      <w:marRight w:val="0"/>
      <w:marTop w:val="0"/>
      <w:marBottom w:val="0"/>
      <w:divBdr>
        <w:top w:val="none" w:sz="0" w:space="0" w:color="auto"/>
        <w:left w:val="none" w:sz="0" w:space="0" w:color="auto"/>
        <w:bottom w:val="none" w:sz="0" w:space="0" w:color="auto"/>
        <w:right w:val="none" w:sz="0" w:space="0" w:color="auto"/>
      </w:divBdr>
      <w:divsChild>
        <w:div w:id="1237207186">
          <w:marLeft w:val="0"/>
          <w:marRight w:val="0"/>
          <w:marTop w:val="0"/>
          <w:marBottom w:val="0"/>
          <w:divBdr>
            <w:top w:val="none" w:sz="0" w:space="0" w:color="auto"/>
            <w:left w:val="none" w:sz="0" w:space="0" w:color="auto"/>
            <w:bottom w:val="none" w:sz="0" w:space="0" w:color="auto"/>
            <w:right w:val="none" w:sz="0" w:space="0" w:color="auto"/>
          </w:divBdr>
        </w:div>
      </w:divsChild>
    </w:div>
    <w:div w:id="1452355545">
      <w:bodyDiv w:val="1"/>
      <w:marLeft w:val="0"/>
      <w:marRight w:val="0"/>
      <w:marTop w:val="0"/>
      <w:marBottom w:val="0"/>
      <w:divBdr>
        <w:top w:val="none" w:sz="0" w:space="0" w:color="auto"/>
        <w:left w:val="none" w:sz="0" w:space="0" w:color="auto"/>
        <w:bottom w:val="none" w:sz="0" w:space="0" w:color="auto"/>
        <w:right w:val="none" w:sz="0" w:space="0" w:color="auto"/>
      </w:divBdr>
      <w:divsChild>
        <w:div w:id="268701959">
          <w:marLeft w:val="0"/>
          <w:marRight w:val="0"/>
          <w:marTop w:val="0"/>
          <w:marBottom w:val="0"/>
          <w:divBdr>
            <w:top w:val="none" w:sz="0" w:space="0" w:color="auto"/>
            <w:left w:val="none" w:sz="0" w:space="0" w:color="auto"/>
            <w:bottom w:val="none" w:sz="0" w:space="0" w:color="auto"/>
            <w:right w:val="none" w:sz="0" w:space="0" w:color="auto"/>
          </w:divBdr>
          <w:divsChild>
            <w:div w:id="259794884">
              <w:marLeft w:val="0"/>
              <w:marRight w:val="0"/>
              <w:marTop w:val="0"/>
              <w:marBottom w:val="0"/>
              <w:divBdr>
                <w:top w:val="none" w:sz="0" w:space="0" w:color="auto"/>
                <w:left w:val="none" w:sz="0" w:space="0" w:color="auto"/>
                <w:bottom w:val="none" w:sz="0" w:space="0" w:color="auto"/>
                <w:right w:val="none" w:sz="0" w:space="0" w:color="auto"/>
              </w:divBdr>
            </w:div>
            <w:div w:id="675885507">
              <w:marLeft w:val="0"/>
              <w:marRight w:val="0"/>
              <w:marTop w:val="0"/>
              <w:marBottom w:val="0"/>
              <w:divBdr>
                <w:top w:val="none" w:sz="0" w:space="0" w:color="auto"/>
                <w:left w:val="none" w:sz="0" w:space="0" w:color="auto"/>
                <w:bottom w:val="none" w:sz="0" w:space="0" w:color="auto"/>
                <w:right w:val="none" w:sz="0" w:space="0" w:color="auto"/>
              </w:divBdr>
            </w:div>
            <w:div w:id="475991074">
              <w:marLeft w:val="0"/>
              <w:marRight w:val="0"/>
              <w:marTop w:val="0"/>
              <w:marBottom w:val="0"/>
              <w:divBdr>
                <w:top w:val="none" w:sz="0" w:space="0" w:color="auto"/>
                <w:left w:val="none" w:sz="0" w:space="0" w:color="auto"/>
                <w:bottom w:val="none" w:sz="0" w:space="0" w:color="auto"/>
                <w:right w:val="none" w:sz="0" w:space="0" w:color="auto"/>
              </w:divBdr>
            </w:div>
            <w:div w:id="228729823">
              <w:marLeft w:val="0"/>
              <w:marRight w:val="0"/>
              <w:marTop w:val="0"/>
              <w:marBottom w:val="0"/>
              <w:divBdr>
                <w:top w:val="none" w:sz="0" w:space="0" w:color="auto"/>
                <w:left w:val="none" w:sz="0" w:space="0" w:color="auto"/>
                <w:bottom w:val="none" w:sz="0" w:space="0" w:color="auto"/>
                <w:right w:val="none" w:sz="0" w:space="0" w:color="auto"/>
              </w:divBdr>
            </w:div>
            <w:div w:id="757555718">
              <w:marLeft w:val="0"/>
              <w:marRight w:val="0"/>
              <w:marTop w:val="0"/>
              <w:marBottom w:val="0"/>
              <w:divBdr>
                <w:top w:val="none" w:sz="0" w:space="0" w:color="auto"/>
                <w:left w:val="none" w:sz="0" w:space="0" w:color="auto"/>
                <w:bottom w:val="none" w:sz="0" w:space="0" w:color="auto"/>
                <w:right w:val="none" w:sz="0" w:space="0" w:color="auto"/>
              </w:divBdr>
            </w:div>
            <w:div w:id="367292263">
              <w:marLeft w:val="0"/>
              <w:marRight w:val="0"/>
              <w:marTop w:val="0"/>
              <w:marBottom w:val="0"/>
              <w:divBdr>
                <w:top w:val="none" w:sz="0" w:space="0" w:color="auto"/>
                <w:left w:val="none" w:sz="0" w:space="0" w:color="auto"/>
                <w:bottom w:val="none" w:sz="0" w:space="0" w:color="auto"/>
                <w:right w:val="none" w:sz="0" w:space="0" w:color="auto"/>
              </w:divBdr>
            </w:div>
            <w:div w:id="1985545769">
              <w:marLeft w:val="0"/>
              <w:marRight w:val="0"/>
              <w:marTop w:val="0"/>
              <w:marBottom w:val="0"/>
              <w:divBdr>
                <w:top w:val="none" w:sz="0" w:space="0" w:color="auto"/>
                <w:left w:val="none" w:sz="0" w:space="0" w:color="auto"/>
                <w:bottom w:val="none" w:sz="0" w:space="0" w:color="auto"/>
                <w:right w:val="none" w:sz="0" w:space="0" w:color="auto"/>
              </w:divBdr>
            </w:div>
            <w:div w:id="141744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enseignements-2014.ehess.fr/2014/mention/36/" TargetMode="External"/><Relationship Id="rId8" Type="http://schemas.openxmlformats.org/officeDocument/2006/relationships/hyperlink" Target="http://enseignements-2014.ehess.fr/2014/mention/22/"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F692E-D314-3041-B2D1-92233F3EB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616</Words>
  <Characters>3392</Characters>
  <Application>Microsoft Macintosh Word</Application>
  <DocSecurity>0</DocSecurity>
  <Lines>28</Lines>
  <Paragraphs>7</Paragraphs>
  <ScaleCrop>false</ScaleCrop>
  <Company>EHESS</Company>
  <LinksUpToDate>false</LinksUpToDate>
  <CharactersWithSpaces>4001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VERONIQUE NAHOUM-GRAPPE</dc:creator>
  <cp:keywords/>
  <dc:description/>
  <cp:lastModifiedBy>VERONIQUE NAHOUM-GRAPPE</cp:lastModifiedBy>
  <cp:revision>2</cp:revision>
  <dcterms:created xsi:type="dcterms:W3CDTF">2014-10-14T14:32:00Z</dcterms:created>
  <dcterms:modified xsi:type="dcterms:W3CDTF">2014-10-14T14:32:00Z</dcterms:modified>
</cp:coreProperties>
</file>